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contextualSpacing/>
        <w:jc w:val="both"/>
        <w:spacing w:after="0" w:line="360" w:lineRule="exac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Анализ состояния безопасности движения на железнодорожном транспорте общего пользования в разрезе железных дорог за ноябрь</w:t>
      </w:r>
      <w:r>
        <w:rPr>
          <w:b w:val="0"/>
          <w:spacing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 xml:space="preserve">2025 года</w:t>
      </w:r>
      <w:r>
        <w:rPr>
          <w:b w:val="0"/>
          <w:spacing w:val="0"/>
          <w:sz w:val="28"/>
          <w:szCs w:val="28"/>
        </w:rPr>
      </w:r>
      <w:r>
        <w:rPr>
          <w:b w:val="0"/>
          <w:spacing w:val="0"/>
          <w:sz w:val="28"/>
          <w:szCs w:val="28"/>
        </w:rPr>
      </w:r>
    </w:p>
    <w:p>
      <w:pPr>
        <w:pStyle w:val="904"/>
        <w:contextualSpacing/>
        <w:jc w:val="both"/>
        <w:spacing w:after="0" w:line="360" w:lineRule="exac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4"/>
        <w:contextualSpacing/>
        <w:jc w:val="both"/>
        <w:spacing w:after="0" w:line="360" w:lineRule="exac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В соответствии с п. 2 раздела </w:t>
      </w:r>
      <w:r>
        <w:rPr>
          <w:b w:val="0"/>
          <w:spacing w:val="0"/>
          <w:sz w:val="28"/>
          <w:szCs w:val="28"/>
          <w:lang w:val="en-US"/>
        </w:rPr>
        <w:t xml:space="preserve">I</w:t>
      </w:r>
      <w:r>
        <w:rPr>
          <w:b w:val="0"/>
          <w:spacing w:val="0"/>
          <w:sz w:val="28"/>
          <w:szCs w:val="28"/>
        </w:rPr>
        <w:t xml:space="preserve">V Протокола совещания № 12 от 15 ноября 2023 года, в МТУ Ространснадзора по СФО проведен анализ причин сходов железнодорожного подвижного состава в разрезе железных дорог за </w:t>
      </w:r>
      <w:r>
        <w:rPr>
          <w:b w:val="0"/>
          <w:spacing w:val="0"/>
          <w:sz w:val="28"/>
          <w:szCs w:val="28"/>
        </w:rPr>
        <w:t xml:space="preserve">ноябрь</w:t>
      </w:r>
      <w:r>
        <w:rPr>
          <w:b w:val="0"/>
          <w:spacing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 xml:space="preserve">2025 года.</w:t>
      </w:r>
      <w:r>
        <w:rPr>
          <w:b w:val="0"/>
          <w:spacing w:val="0"/>
          <w:sz w:val="28"/>
          <w:szCs w:val="28"/>
        </w:rPr>
      </w:r>
      <w:r>
        <w:rPr>
          <w:b w:val="0"/>
          <w:spacing w:val="0"/>
          <w:sz w:val="28"/>
          <w:szCs w:val="28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период на поднадзорных МТУ Ространснадзора по СФО железнодорожных путях общего пользования допущено</w:t>
      </w:r>
      <w:r>
        <w:rPr>
          <w:rFonts w:ascii="Times New Roman" w:hAnsi="Times New Roman" w:cs="Times New Roman"/>
          <w:sz w:val="28"/>
          <w:szCs w:val="28"/>
        </w:rPr>
        <w:t xml:space="preserve">  4</w:t>
      </w:r>
      <w:r>
        <w:rPr>
          <w:rFonts w:ascii="Times New Roman" w:hAnsi="Times New Roman" w:cs="Times New Roman"/>
          <w:sz w:val="28"/>
          <w:szCs w:val="28"/>
        </w:rPr>
        <w:t xml:space="preserve"> схода желе</w:t>
      </w:r>
      <w:r>
        <w:rPr>
          <w:rFonts w:ascii="Times New Roman" w:hAnsi="Times New Roman" w:cs="Times New Roman"/>
          <w:sz w:val="28"/>
          <w:szCs w:val="28"/>
        </w:rPr>
        <w:t xml:space="preserve">знодорожного подвижного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Восточно-Сибирской</w:t>
      </w:r>
      <w:r>
        <w:rPr>
          <w:rFonts w:ascii="Times New Roman" w:hAnsi="Times New Roman" w:cs="Times New Roman"/>
          <w:sz w:val="28"/>
          <w:szCs w:val="28"/>
        </w:rPr>
        <w:t xml:space="preserve"> и Западно-Сибирской </w:t>
      </w:r>
      <w:r>
        <w:rPr>
          <w:rFonts w:ascii="Times New Roman" w:hAnsi="Times New Roman" w:cs="Times New Roman"/>
          <w:sz w:val="28"/>
          <w:szCs w:val="28"/>
        </w:rPr>
        <w:t xml:space="preserve">железных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путях общего пользования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допущенных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в ноябре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2025 г.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707"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82748" cy="2594111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общего числа с</w:t>
      </w:r>
      <w:r>
        <w:rPr>
          <w:rFonts w:ascii="Times New Roman" w:hAnsi="Times New Roman" w:cs="Times New Roman"/>
          <w:sz w:val="28"/>
          <w:szCs w:val="28"/>
        </w:rPr>
        <w:t xml:space="preserve">ходов подвижного состава на путях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br/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случая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производстве маневровой работы, 1 случай при производстве поездной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Классификация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54"/>
        <w:tblW w:w="4676" w:type="pct"/>
        <w:tblInd w:w="67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4112"/>
        <w:gridCol w:w="1985"/>
        <w:gridCol w:w="1700"/>
        <w:gridCol w:w="1949"/>
      </w:tblGrid>
      <w:tr>
        <w:tblPrEx/>
        <w:trPr/>
        <w:tc>
          <w:tcPr>
            <w:tcW w:w="210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 виду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 железнодорожного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 при поездной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 железнодорожного подвижного состава при маневровой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00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09" w:type="pct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7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00" w:type="pc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Причинами</w:t>
      </w:r>
      <w:r>
        <w:rPr>
          <w:rFonts w:ascii="Times New Roman" w:hAnsi="Times New Roman" w:cs="Times New Roman"/>
          <w:sz w:val="28"/>
          <w:szCs w:val="28"/>
        </w:rPr>
        <w:t xml:space="preserve"> сходов</w:t>
      </w:r>
      <w:r>
        <w:rPr>
          <w:rFonts w:ascii="Times New Roman" w:hAnsi="Times New Roman" w:cs="Times New Roman"/>
          <w:sz w:val="28"/>
          <w:szCs w:val="28"/>
        </w:rPr>
        <w:t xml:space="preserve"> подвижного состава явились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numPr>
          <w:ilvl w:val="0"/>
          <w:numId w:val="7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технологии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маневровой </w:t>
      </w:r>
      <w:r>
        <w:rPr>
          <w:rFonts w:ascii="Times New Roman" w:hAnsi="Times New Roman" w:cs="Times New Roman"/>
          <w:sz w:val="28"/>
          <w:szCs w:val="28"/>
        </w:rPr>
        <w:t xml:space="preserve">работы, что 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1-го случая на </w:t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Восточно-Сибирской железной дороге и </w:t>
      </w:r>
      <w:r>
        <w:rPr>
          <w:rFonts w:ascii="Times New Roman" w:hAnsi="Times New Roman" w:cs="Times New Roman"/>
          <w:sz w:val="28"/>
          <w:szCs w:val="28"/>
        </w:rPr>
        <w:t xml:space="preserve">1-го случая на Западно</w:t>
      </w:r>
      <w:r>
        <w:rPr>
          <w:rFonts w:ascii="Times New Roman" w:hAnsi="Times New Roman" w:cs="Times New Roman"/>
          <w:sz w:val="28"/>
          <w:szCs w:val="28"/>
        </w:rPr>
        <w:t xml:space="preserve">-Сибирской железной дороге;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numPr>
          <w:ilvl w:val="0"/>
          <w:numId w:val="6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нарушение технологии производства путевых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1-го случая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Западно</w:t>
      </w:r>
      <w:r>
        <w:rPr>
          <w:rFonts w:ascii="Times New Roman" w:hAnsi="Times New Roman" w:cs="Times New Roman"/>
          <w:sz w:val="28"/>
          <w:szCs w:val="28"/>
        </w:rPr>
        <w:t xml:space="preserve">-Сибирской железной дороге;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numPr>
          <w:ilvl w:val="0"/>
          <w:numId w:val="6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нарушение технологии производства поездной работы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привело</w:t>
      </w:r>
      <w:r>
        <w:rPr>
          <w:rFonts w:ascii="Times New Roman" w:hAnsi="Times New Roman" w:cs="Times New Roman"/>
          <w:sz w:val="28"/>
          <w:szCs w:val="28"/>
        </w:rPr>
        <w:br/>
        <w:t xml:space="preserve">к возникновению 1-го случая на </w:t>
      </w:r>
      <w:r>
        <w:rPr>
          <w:rFonts w:ascii="Times New Roman" w:hAnsi="Times New Roman" w:cs="Times New Roman"/>
          <w:sz w:val="28"/>
          <w:szCs w:val="28"/>
        </w:rPr>
        <w:t xml:space="preserve">Восточно-Сибирской железной дороге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88" w:lineRule="auto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Причины транспортных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событий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(сходы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в ноябре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2025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spacing w:after="0" w:line="240" w:lineRule="exact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54"/>
        <w:tblW w:w="9639" w:type="dxa"/>
        <w:tblInd w:w="817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992"/>
        <w:gridCol w:w="851"/>
        <w:gridCol w:w="992"/>
        <w:gridCol w:w="992"/>
      </w:tblGrid>
      <w:tr>
        <w:tblPrEx/>
        <w:trPr/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 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3827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маневровой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3"/>
        </w:trPr>
        <w:tc>
          <w:tcPr>
            <w:tcW w:w="3827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путевых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3827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технологии производства поездной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9"/>
        </w:trPr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88" w:lineRule="auto"/>
        <w:tabs>
          <w:tab w:val="left" w:pos="38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tabs>
          <w:tab w:val="left" w:pos="38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Основными причинами сходов железнодорожного подвижного состава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путях общего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Восточно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 стали: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numPr>
          <w:ilvl w:val="0"/>
          <w:numId w:val="12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Восточно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дороги; 25% от общего числа сходов в ноябре) произошло по причине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маневровой работы; </w:t>
      </w:r>
      <w:bookmarkStart w:id="0" w:name="_GoBack"/>
      <w:r>
        <w:rPr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numPr>
          <w:ilvl w:val="0"/>
          <w:numId w:val="13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Восточно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дороги;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25% от общего числа сходов в ноябре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произошло по причине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поездной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Основными причинами сходов железнодорожного подвижного состава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путях общего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Западно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 стали: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numPr>
          <w:ilvl w:val="0"/>
          <w:numId w:val="14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Западно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дороги;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25% от общего числа сходов в ноябре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произошло по причине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маневровой работы;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numPr>
          <w:ilvl w:val="0"/>
          <w:numId w:val="15"/>
        </w:numPr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от общего числа сходов на путях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Западно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-Сибирской железной дороги;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25% от общего числа сходов в ноябре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произошло по причине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технологии производства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путевых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418" w:firstLine="0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Причины транспортных происшествий (сходы)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территории Сибирского Федерального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exact"/>
        <w:tabs>
          <w:tab w:val="center" w:pos="5457" w:leader="none"/>
          <w:tab w:val="left" w:pos="88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причиной схода железнодорожного подвижного состава на путях общего пользования послужило нарушение </w:t>
      </w:r>
      <w:r>
        <w:rPr>
          <w:rFonts w:ascii="Times New Roman" w:hAnsi="Times New Roman" w:cs="Times New Roman"/>
          <w:sz w:val="28"/>
          <w:szCs w:val="28"/>
        </w:rPr>
        <w:t xml:space="preserve">технологии производства маневровой работы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Динамика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транспортных происшествий (сходы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столкновения железнодорожного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подвижного состава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путях общего пользования, допущенных в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2025</w:t>
      </w:r>
      <w:r>
        <w:rPr>
          <w:rFonts w:ascii="Times New Roman" w:hAnsi="Times New Roman" w:cs="Times New Roman"/>
          <w:b/>
          <w:sz w:val="24"/>
          <w:szCs w:val="24"/>
        </w:rPr>
        <w:t xml:space="preserve">-2024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54"/>
        <w:tblW w:w="4909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031"/>
        <w:gridCol w:w="1134"/>
        <w:gridCol w:w="1074"/>
        <w:gridCol w:w="1136"/>
        <w:gridCol w:w="1136"/>
        <w:gridCol w:w="990"/>
        <w:gridCol w:w="992"/>
        <w:gridCol w:w="1109"/>
      </w:tblGrid>
      <w:tr>
        <w:tblPrEx/>
        <w:trPr/>
        <w:tc>
          <w:tcPr>
            <w:tcBorders>
              <w:right w:val="single" w:color="auto" w:sz="4" w:space="0"/>
            </w:tcBorders>
            <w:tcW w:w="7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left w:val="single" w:color="auto" w:sz="4" w:space="0"/>
            </w:tcBorders>
            <w:tcW w:w="31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7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05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Нарушение технологии производства поездной работы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W w:w="103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Нарушение технологии производства путевых работ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10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Нарушение технологии производства маневровых работ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365"/>
        </w:trPr>
        <w:tc>
          <w:tcPr>
            <w:tcBorders>
              <w:right w:val="single" w:color="auto" w:sz="4" w:space="0"/>
            </w:tcBorders>
            <w:tcW w:w="79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48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485" w:type="pct"/>
            <w:textDirection w:val="lrTb"/>
            <w:noWrap w:val="false"/>
          </w:tcPr>
          <w:p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2025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tcW w:w="5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8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48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77"/>
        </w:trPr>
        <w:tc>
          <w:tcPr>
            <w:tcBorders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8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48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Восточно-Сибирская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8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48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44"/>
        </w:trPr>
        <w:tc>
          <w:tcPr>
            <w:tcBorders>
              <w:right w:val="single" w:color="auto" w:sz="4" w:space="0"/>
            </w:tcBorders>
            <w:tcW w:w="79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  <w:bottom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5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left w:val="single" w:color="auto" w:sz="4" w:space="0"/>
            </w:tcBorders>
            <w:tcW w:w="52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55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48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2f2f2" w:themeFill="background1" w:themeFillShade="F2"/>
            <w:tcW w:w="48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543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505514" cy="2202509"/>
            <wp:effectExtent l="4762" t="4762" r="4762" b="4762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567" w:bottom="993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continuous"/>
      <w:pgSz w:w="11906" w:h="16838" w:orient="portrait"/>
      <w:pgMar w:top="1134" w:right="567" w:bottom="99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3488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36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08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80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652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24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96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868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401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67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567" w:hanging="51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700"/>
    <w:next w:val="70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700"/>
    <w:next w:val="700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700"/>
    <w:next w:val="700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700"/>
    <w:next w:val="700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700"/>
    <w:next w:val="700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700"/>
    <w:next w:val="700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700"/>
    <w:next w:val="700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700"/>
    <w:next w:val="700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99">
    <w:name w:val="Caption"/>
    <w:basedOn w:val="700"/>
    <w:next w:val="70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0" w:default="1">
    <w:name w:val="Normal"/>
    <w:qFormat/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paragraph" w:styleId="704" w:customStyle="1">
    <w:name w:val="Заголовок 11"/>
    <w:basedOn w:val="700"/>
    <w:next w:val="700"/>
    <w:link w:val="73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5" w:customStyle="1">
    <w:name w:val="Заголовок 21"/>
    <w:basedOn w:val="700"/>
    <w:next w:val="700"/>
    <w:link w:val="73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6" w:customStyle="1">
    <w:name w:val="Заголовок 31"/>
    <w:basedOn w:val="700"/>
    <w:link w:val="898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707" w:customStyle="1">
    <w:name w:val="Заголовок 41"/>
    <w:basedOn w:val="700"/>
    <w:next w:val="700"/>
    <w:link w:val="73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 w:customStyle="1">
    <w:name w:val="Заголовок 51"/>
    <w:basedOn w:val="700"/>
    <w:next w:val="700"/>
    <w:link w:val="73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 w:customStyle="1">
    <w:name w:val="Заголовок 61"/>
    <w:basedOn w:val="700"/>
    <w:next w:val="700"/>
    <w:link w:val="73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0" w:customStyle="1">
    <w:name w:val="Заголовок 71"/>
    <w:basedOn w:val="700"/>
    <w:next w:val="700"/>
    <w:link w:val="7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1" w:customStyle="1">
    <w:name w:val="Заголовок 81"/>
    <w:basedOn w:val="700"/>
    <w:next w:val="700"/>
    <w:link w:val="73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2" w:customStyle="1">
    <w:name w:val="Заголовок 91"/>
    <w:basedOn w:val="700"/>
    <w:next w:val="700"/>
    <w:link w:val="73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15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01"/>
    <w:uiPriority w:val="10"/>
    <w:rPr>
      <w:sz w:val="48"/>
      <w:szCs w:val="48"/>
    </w:rPr>
  </w:style>
  <w:style w:type="character" w:styleId="722" w:customStyle="1">
    <w:name w:val="Subtitle Char"/>
    <w:basedOn w:val="701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Header Char"/>
    <w:basedOn w:val="701"/>
    <w:uiPriority w:val="99"/>
  </w:style>
  <w:style w:type="character" w:styleId="726" w:customStyle="1">
    <w:name w:val="Footer Char"/>
    <w:basedOn w:val="701"/>
    <w:uiPriority w:val="99"/>
  </w:style>
  <w:style w:type="character" w:styleId="727" w:customStyle="1">
    <w:name w:val="Caption Char"/>
    <w:basedOn w:val="701"/>
    <w:uiPriority w:val="35"/>
    <w:rPr>
      <w:b/>
      <w:bCs/>
      <w:color w:val="4f81bd" w:themeColor="accent1"/>
      <w:sz w:val="18"/>
      <w:szCs w:val="18"/>
    </w:rPr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01"/>
    <w:link w:val="704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01"/>
    <w:link w:val="705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01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01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01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01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01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0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after="0" w:line="240" w:lineRule="auto"/>
    </w:pPr>
  </w:style>
  <w:style w:type="paragraph" w:styleId="740">
    <w:name w:val="Title"/>
    <w:basedOn w:val="700"/>
    <w:next w:val="700"/>
    <w:link w:val="741"/>
    <w:uiPriority w:val="10"/>
    <w:qFormat/>
    <w:pPr>
      <w:contextualSpacing/>
      <w:spacing w:before="300"/>
    </w:pPr>
    <w:rPr>
      <w:sz w:val="48"/>
      <w:szCs w:val="48"/>
    </w:rPr>
  </w:style>
  <w:style w:type="character" w:styleId="741" w:customStyle="1">
    <w:name w:val="Название Знак"/>
    <w:basedOn w:val="701"/>
    <w:link w:val="740"/>
    <w:uiPriority w:val="10"/>
    <w:rPr>
      <w:sz w:val="48"/>
      <w:szCs w:val="48"/>
    </w:rPr>
  </w:style>
  <w:style w:type="paragraph" w:styleId="742">
    <w:name w:val="Subtitle"/>
    <w:basedOn w:val="700"/>
    <w:next w:val="700"/>
    <w:link w:val="743"/>
    <w:uiPriority w:val="11"/>
    <w:qFormat/>
    <w:pPr>
      <w:spacing w:before="200"/>
    </w:pPr>
    <w:rPr>
      <w:sz w:val="24"/>
      <w:szCs w:val="24"/>
    </w:rPr>
  </w:style>
  <w:style w:type="character" w:styleId="743" w:customStyle="1">
    <w:name w:val="Подзаголовок Знак"/>
    <w:basedOn w:val="701"/>
    <w:link w:val="742"/>
    <w:uiPriority w:val="11"/>
    <w:rPr>
      <w:sz w:val="24"/>
      <w:szCs w:val="24"/>
    </w:rPr>
  </w:style>
  <w:style w:type="paragraph" w:styleId="744">
    <w:name w:val="Quote"/>
    <w:basedOn w:val="700"/>
    <w:next w:val="700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0"/>
    <w:next w:val="700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 w:customStyle="1">
    <w:name w:val="Верхний колонтитул1"/>
    <w:basedOn w:val="700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 w:customStyle="1">
    <w:name w:val="Верхний колонтитул Знак"/>
    <w:basedOn w:val="701"/>
    <w:link w:val="748"/>
    <w:uiPriority w:val="99"/>
  </w:style>
  <w:style w:type="paragraph" w:styleId="750" w:customStyle="1">
    <w:name w:val="Нижний колонтитул1"/>
    <w:basedOn w:val="7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 w:customStyle="1">
    <w:name w:val="Нижний колонтитул Знак"/>
    <w:basedOn w:val="701"/>
    <w:link w:val="750"/>
    <w:uiPriority w:val="99"/>
  </w:style>
  <w:style w:type="paragraph" w:styleId="752" w:customStyle="1">
    <w:name w:val="Название объекта1"/>
    <w:basedOn w:val="700"/>
    <w:next w:val="700"/>
    <w:link w:val="7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3" w:customStyle="1">
    <w:name w:val="Название объекта Знак"/>
    <w:basedOn w:val="701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0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 w:customStyle="1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00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01"/>
    <w:uiPriority w:val="99"/>
    <w:unhideWhenUsed/>
    <w:rPr>
      <w:vertAlign w:val="superscript"/>
    </w:rPr>
  </w:style>
  <w:style w:type="paragraph" w:styleId="883">
    <w:name w:val="endnote text"/>
    <w:basedOn w:val="700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01"/>
    <w:uiPriority w:val="99"/>
    <w:semiHidden/>
    <w:unhideWhenUsed/>
    <w:rPr>
      <w:vertAlign w:val="superscript"/>
    </w:rPr>
  </w:style>
  <w:style w:type="paragraph" w:styleId="886">
    <w:name w:val="toc 1"/>
    <w:basedOn w:val="700"/>
    <w:next w:val="700"/>
    <w:uiPriority w:val="39"/>
    <w:unhideWhenUsed/>
    <w:pPr>
      <w:spacing w:after="57"/>
    </w:pPr>
  </w:style>
  <w:style w:type="paragraph" w:styleId="887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8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9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0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1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2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3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4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0"/>
    <w:next w:val="700"/>
    <w:uiPriority w:val="99"/>
    <w:unhideWhenUsed/>
    <w:pPr>
      <w:spacing w:after="0"/>
    </w:pPr>
  </w:style>
  <w:style w:type="paragraph" w:styleId="89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898" w:customStyle="1">
    <w:name w:val="Заголовок 3 Знак"/>
    <w:basedOn w:val="701"/>
    <w:link w:val="706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99">
    <w:name w:val="Hyperlink"/>
    <w:basedOn w:val="701"/>
    <w:uiPriority w:val="99"/>
    <w:unhideWhenUsed/>
    <w:rPr>
      <w:color w:val="0000ff"/>
      <w:u w:val="single"/>
    </w:rPr>
  </w:style>
  <w:style w:type="paragraph" w:styleId="900">
    <w:name w:val="Balloon Text"/>
    <w:basedOn w:val="700"/>
    <w:link w:val="90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basedOn w:val="701"/>
    <w:link w:val="900"/>
    <w:uiPriority w:val="99"/>
    <w:semiHidden/>
    <w:rPr>
      <w:rFonts w:ascii="Segoe UI" w:hAnsi="Segoe UI" w:cs="Segoe UI"/>
      <w:sz w:val="18"/>
      <w:szCs w:val="18"/>
    </w:rPr>
  </w:style>
  <w:style w:type="paragraph" w:styleId="902">
    <w:name w:val="List Paragraph"/>
    <w:basedOn w:val="700"/>
    <w:uiPriority w:val="34"/>
    <w:qFormat/>
    <w:pPr>
      <w:contextualSpacing/>
      <w:ind w:left="720"/>
    </w:pPr>
  </w:style>
  <w:style w:type="character" w:styleId="903" w:customStyle="1">
    <w:name w:val="Основной текст (2)_"/>
    <w:basedOn w:val="701"/>
    <w:link w:val="904"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paragraph" w:styleId="904" w:customStyle="1">
    <w:name w:val="Основной текст (2)"/>
    <w:basedOn w:val="700"/>
    <w:link w:val="903"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05">
    <w:name w:val="Header"/>
    <w:basedOn w:val="700"/>
    <w:link w:val="90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Верхний колонтитул Знак1"/>
    <w:basedOn w:val="701"/>
    <w:link w:val="905"/>
    <w:uiPriority w:val="99"/>
    <w:semiHidden/>
  </w:style>
  <w:style w:type="paragraph" w:styleId="907">
    <w:name w:val="Footer"/>
    <w:basedOn w:val="700"/>
    <w:link w:val="90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Нижний колонтитул Знак1"/>
    <w:basedOn w:val="701"/>
    <w:link w:val="907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046030"/>
          <c:y val="0.074850"/>
          <c:w val="0.726470"/>
          <c:h val="0.645720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ноябрь 2025 г.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>
              <a:outerShdw sx="1000" sy="1000" algn="ctr" rotWithShape="0">
                <a:srgbClr val="000000"/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Общее количество случаев, допущенных в ноябре 2025 года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bg1"/>
            </a:solidFill>
            <a:ln>
              <a:solidFill>
                <a:srgbClr val="0070C0"/>
              </a:solidFill>
            </a:ln>
            <a:effectLst>
              <a:outerShdw blurRad="114300" dist="63500" dir="2040000" sx="1000" sy="1000" algn="ctr" rotWithShape="0">
                <a:srgbClr val="000000"/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100"/>
        <c:axId val="197412352"/>
        <c:axId val="157964480"/>
      </c:barChart>
      <c:catAx>
        <c:axId val="19741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7964480"/>
        <c:crosses val="autoZero"/>
        <c:auto val="1"/>
        <c:lblAlgn val="ctr"/>
        <c:lblOffset val="100"/>
        <c:noMultiLvlLbl val="0"/>
      </c:catAx>
      <c:valAx>
        <c:axId val="157964480"/>
        <c:scaling>
          <c:orientation val="minMax"/>
          <c:max val="5.000000"/>
          <c:min val="0.000000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197412352"/>
        <c:crosses val="autoZero"/>
        <c:crossBetween val="between"/>
        <c:majorUnit val="1.000000"/>
        <c:minorUnit val="0.100000"/>
      </c:valAx>
      <c:spPr bwMode="auto">
        <a:prstGeom prst="rect">
          <a:avLst/>
        </a:prstGeom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420"/>
          <c:y val="0.147130"/>
          <c:w val="0.205000"/>
          <c:h val="0.51198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082747" cy="2594110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4850"/>
          <c:y val="0.057170"/>
          <c:w val="0.564780"/>
          <c:h val="0.728720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ноябрь 2024 г.</c:v>
                </c:pt>
              </c:strCache>
            </c:strRef>
          </c:tx>
          <c:spPr bwMode="auto">
            <a:prstGeom prst="rect">
              <a:avLst/>
            </a:prstGeom>
            <a:solidFill>
              <a:sysClr val="window" lastClr="ffffff">
                <a:lumMod val="50000"/>
                <a:alpha val="13000"/>
              </a:sysClr>
            </a:solidFill>
            <a:ln>
              <a:solidFill>
                <a:schemeClr val="accent1">
                  <a:lumMod val="75000"/>
                </a:schemeClr>
              </a:solidFill>
            </a:ln>
            <a:effectLst>
              <a:outerShdw blurRad="114300" dist="63500" dir="19860000" sx="1000" sy="1000" algn="ctr" rotWithShape="0">
                <a:srgbClr val="000000">
                  <a:alpha val="84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ноябрь 2025 г. </c:v>
                </c:pt>
              </c:strCache>
            </c:strRef>
          </c:tx>
          <c:spPr bwMode="auto">
            <a:prstGeom prst="rect">
              <a:avLst/>
            </a:prstGeom>
            <a:solidFill>
              <a:srgbClr val="1F497D">
                <a:lumMod val="60000"/>
                <a:lumOff val="40000"/>
                <a:alpha val="51000"/>
              </a:srgbClr>
            </a:solidFill>
            <a:ln>
              <a:solidFill>
                <a:srgbClr val="1F497D">
                  <a:lumMod val="75000"/>
                </a:srgbClr>
              </a:solidFill>
            </a:ln>
            <a:effectLst>
              <a:outerShdw blurRad="114300" dist="63500" dir="2040000" sx="1000" sy="1000" algn="ctr" rotWithShape="0">
                <a:srgbClr val="000000">
                  <a:alpha val="8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Лист1!$A$2:$A$4</c:f>
              <c:strCache>
                <c:ptCount val="3"/>
                <c:pt idx="0">
                  <c:v xml:space="preserve">Западно-Сибирская железная дорога</c:v>
                </c:pt>
                <c:pt idx="1">
                  <c:v xml:space="preserve">Красноярская железная дорога</c:v>
                </c:pt>
                <c:pt idx="2">
                  <c:v xml:space="preserve">Восточно-Сибирская железная дорогая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86"/>
        <c:axId val="203513857"/>
        <c:axId val="203513858"/>
      </c:barChart>
      <c:catAx>
        <c:axId val="20351385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3513858"/>
        <c:crosses val="autoZero"/>
        <c:auto val="1"/>
        <c:lblAlgn val="ctr"/>
        <c:lblOffset val="100"/>
        <c:noMultiLvlLbl val="0"/>
      </c:catAx>
      <c:valAx>
        <c:axId val="203513858"/>
        <c:scaling>
          <c:orientation val="minMax"/>
          <c:max val="4.000000"/>
          <c:min val="0.000000"/>
        </c:scaling>
        <c:delete val="0"/>
        <c:axPos val="b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203513857"/>
        <c:crosses val="autoZero"/>
        <c:crossBetween val="between"/>
        <c:majorUnit val="1.000000"/>
        <c:minorUnit val="0.100000"/>
      </c:valAx>
    </c:plotArea>
    <c:legend>
      <c:legendPos val="r"/>
      <c:layout>
        <c:manualLayout>
          <c:xMode val="edge"/>
          <c:yMode val="edge"/>
          <c:x val="0.826490"/>
          <c:y val="0.274000"/>
          <c:w val="0.155830"/>
          <c:h val="0.28871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505513" cy="2202508"/>
    </a:xfrm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467D-5D60-4D7A-831C-710E9171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Nevidimov</dc:creator>
  <cp:lastModifiedBy>Harsekina_OV</cp:lastModifiedBy>
  <cp:revision>6</cp:revision>
  <dcterms:created xsi:type="dcterms:W3CDTF">2025-10-14T06:09:00Z</dcterms:created>
  <dcterms:modified xsi:type="dcterms:W3CDTF">2025-12-17T05:06:36Z</dcterms:modified>
</cp:coreProperties>
</file>